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2F" w:rsidRPr="00127E4E" w:rsidRDefault="0086182F">
      <w:bookmarkStart w:id="0" w:name="_GoBack"/>
    </w:p>
    <w:bookmarkEnd w:id="0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127E4E" w:rsidRPr="00127E4E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Pr="00127E4E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127E4E" w:rsidRDefault="00BB2A36" w:rsidP="001325FD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27E4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  <w:r w:rsidR="0086182F" w:rsidRPr="00127E4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 w:rsidR="001325FD" w:rsidRPr="00127E4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127E4E" w:rsidRDefault="00BB2A36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27E4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Фигуры сигнальные</w:t>
            </w:r>
          </w:p>
          <w:p w:rsidR="0086182F" w:rsidRPr="00127E4E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127E4E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Анемометр ручной электронный АРЭ (состоит из датчика и пульта)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26000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Барометр-анероид БАММ-1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18600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Грузик для карт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Линейка параллельная </w:t>
            </w:r>
          </w:p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дл. 380 мм </w:t>
            </w:r>
            <w:proofErr w:type="spellStart"/>
            <w:r w:rsidRPr="00127E4E">
              <w:rPr>
                <w:rFonts w:eastAsia="Arial Unicode MS"/>
                <w:spacing w:val="20"/>
                <w:sz w:val="28"/>
                <w:szCs w:val="28"/>
              </w:rPr>
              <w:t>имп</w:t>
            </w:r>
            <w:proofErr w:type="spellEnd"/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. </w:t>
            </w:r>
          </w:p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дл. 450 мм </w:t>
            </w:r>
            <w:proofErr w:type="spellStart"/>
            <w:r w:rsidRPr="00127E4E">
              <w:rPr>
                <w:rFonts w:eastAsia="Arial Unicode MS"/>
                <w:spacing w:val="20"/>
                <w:sz w:val="28"/>
                <w:szCs w:val="28"/>
              </w:rPr>
              <w:t>имп</w:t>
            </w:r>
            <w:proofErr w:type="spellEnd"/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. </w:t>
            </w:r>
          </w:p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дл. 450 мм 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3400/</w:t>
            </w:r>
          </w:p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4200/</w:t>
            </w:r>
          </w:p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7200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Лупа ЛПК-471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1200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Кренометр КМ,</w:t>
            </w:r>
            <w:r w:rsidRPr="00127E4E">
              <w:rPr>
                <w:spacing w:val="20"/>
                <w:sz w:val="28"/>
                <w:szCs w:val="28"/>
              </w:rPr>
              <w:t xml:space="preserve"> РС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10000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Штурманский транспортир </w:t>
            </w:r>
            <w:proofErr w:type="spellStart"/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>и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>мп</w:t>
            </w:r>
            <w:proofErr w:type="spellEnd"/>
            <w:r w:rsidRPr="00127E4E">
              <w:rPr>
                <w:rFonts w:eastAsia="Arial Unicode MS"/>
                <w:spacing w:val="20"/>
                <w:sz w:val="28"/>
                <w:szCs w:val="28"/>
              </w:rPr>
              <w:t>. / 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2400/4900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Измеритель дл.180</w:t>
            </w:r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>мм /дл. 200</w:t>
            </w:r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>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2400/2800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27E4E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 БПЦ 12х50</w:t>
            </w:r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27E4E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3800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Бинокль </w:t>
            </w:r>
            <w:r w:rsidRPr="00127E4E">
              <w:rPr>
                <w:rFonts w:eastAsia="Arial Unicode MS"/>
                <w:spacing w:val="20"/>
                <w:sz w:val="28"/>
                <w:szCs w:val="28"/>
                <w:lang w:val="en-US"/>
              </w:rPr>
              <w:t>VEBER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 БПЦ 7х50</w:t>
            </w:r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27E4E">
              <w:rPr>
                <w:rFonts w:eastAsia="Arial Unicode MS"/>
                <w:spacing w:val="20"/>
                <w:sz w:val="28"/>
                <w:szCs w:val="28"/>
                <w:lang w:val="en-US"/>
              </w:rPr>
              <w:t>VM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3480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Секундомер СОПпр-2А-2-010 однокнопочный простого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5290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 xml:space="preserve">Секундомер СОСпр-2Б-2-010 двухкнопочный суммирующего действия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5970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E26B4B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Рында судовая д.</w:t>
            </w:r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 xml:space="preserve"> 3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>00</w:t>
            </w:r>
            <w:r w:rsidR="00E26B4B" w:rsidRPr="00127E4E">
              <w:rPr>
                <w:rFonts w:eastAsia="Arial Unicode MS"/>
                <w:spacing w:val="20"/>
                <w:sz w:val="28"/>
                <w:szCs w:val="28"/>
              </w:rPr>
              <w:t xml:space="preserve"> </w:t>
            </w:r>
            <w:r w:rsidRPr="00127E4E">
              <w:rPr>
                <w:rFonts w:eastAsia="Arial Unicode MS"/>
                <w:spacing w:val="20"/>
                <w:sz w:val="28"/>
                <w:szCs w:val="28"/>
              </w:rPr>
              <w:t>мм, РС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40900</w:t>
            </w:r>
          </w:p>
        </w:tc>
      </w:tr>
      <w:tr w:rsidR="00127E4E" w:rsidRPr="00127E4E" w:rsidTr="00AE076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FD" w:rsidRPr="00127E4E" w:rsidRDefault="001325FD" w:rsidP="001325FD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spacing w:val="20"/>
                <w:sz w:val="28"/>
                <w:szCs w:val="28"/>
              </w:rPr>
              <w:t>Часы судовые 5-ЧМ М3 с центральной секундной стрелкой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325FD" w:rsidRPr="00127E4E" w:rsidRDefault="001325FD" w:rsidP="001325FD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27E4E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17700</w:t>
            </w:r>
          </w:p>
        </w:tc>
      </w:tr>
    </w:tbl>
    <w:p w:rsidR="00E45F07" w:rsidRPr="00127E4E" w:rsidRDefault="00E45F07"/>
    <w:p w:rsidR="00CC130D" w:rsidRDefault="00CC130D"/>
    <w:sectPr w:rsidR="00CC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80BEA"/>
    <w:rsid w:val="00125F5D"/>
    <w:rsid w:val="00127E4E"/>
    <w:rsid w:val="001325FD"/>
    <w:rsid w:val="001A739A"/>
    <w:rsid w:val="002F17C6"/>
    <w:rsid w:val="003D0EF0"/>
    <w:rsid w:val="003E0DED"/>
    <w:rsid w:val="00613350"/>
    <w:rsid w:val="007505E9"/>
    <w:rsid w:val="0086182F"/>
    <w:rsid w:val="00977F7F"/>
    <w:rsid w:val="00AD3D6A"/>
    <w:rsid w:val="00B217E7"/>
    <w:rsid w:val="00BB2A36"/>
    <w:rsid w:val="00BE21C1"/>
    <w:rsid w:val="00C341A1"/>
    <w:rsid w:val="00CC130D"/>
    <w:rsid w:val="00E26B4B"/>
    <w:rsid w:val="00E4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Kompas</cp:lastModifiedBy>
  <cp:revision>12</cp:revision>
  <dcterms:created xsi:type="dcterms:W3CDTF">2019-07-31T13:23:00Z</dcterms:created>
  <dcterms:modified xsi:type="dcterms:W3CDTF">2019-10-31T12:03:00Z</dcterms:modified>
</cp:coreProperties>
</file>